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p>
    <w:p w:rsidR="008C0C02" w:rsidRPr="008C0C02" w:rsidRDefault="00624551" w:rsidP="008C0C02">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00E00A6F">
        <w:rPr>
          <w:rFonts w:ascii="Times New Roman" w:hAnsi="Times New Roman" w:cs="Times New Roman"/>
          <w:b/>
          <w:bCs/>
        </w:rPr>
        <w:t>/П/</w:t>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E00A6F">
        <w:rPr>
          <w:rFonts w:ascii="Times New Roman" w:hAnsi="Times New Roman" w:cs="Times New Roman"/>
          <w:b/>
          <w:bCs/>
          <w:sz w:val="20"/>
          <w:szCs w:val="20"/>
        </w:rPr>
        <w:tab/>
      </w:r>
      <w:bookmarkStart w:id="0" w:name="_GoBack"/>
      <w:bookmarkEnd w:id="0"/>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РД-09-12-45</w:t>
      </w:r>
      <w:r w:rsidR="00025C10">
        <w:rPr>
          <w:rFonts w:ascii="Times New Roman" w:hAnsi="Times New Roman" w:cs="Times New Roman"/>
          <w:sz w:val="20"/>
          <w:szCs w:val="20"/>
        </w:rPr>
        <w:t>/</w:t>
      </w:r>
      <w:r w:rsidR="004B2F38">
        <w:rPr>
          <w:rFonts w:ascii="Times New Roman" w:hAnsi="Times New Roman" w:cs="Times New Roman"/>
          <w:sz w:val="20"/>
          <w:szCs w:val="20"/>
        </w:rPr>
        <w:t>27</w:t>
      </w:r>
      <w:r w:rsidR="00A60392">
        <w:rPr>
          <w:rFonts w:ascii="Times New Roman" w:hAnsi="Times New Roman" w:cs="Times New Roman"/>
          <w:sz w:val="20"/>
          <w:szCs w:val="20"/>
        </w:rPr>
        <w:t>.11</w:t>
      </w:r>
      <w:r w:rsidR="00025C10">
        <w:rPr>
          <w:rFonts w:ascii="Times New Roman" w:hAnsi="Times New Roman" w:cs="Times New Roman"/>
          <w:sz w:val="20"/>
          <w:szCs w:val="20"/>
        </w:rPr>
        <w:t>.2020</w:t>
      </w:r>
      <w:r w:rsidR="008C0C02" w:rsidRPr="008C0C02">
        <w:rPr>
          <w:rFonts w:ascii="Times New Roman" w:hAnsi="Times New Roman" w:cs="Times New Roman"/>
          <w:sz w:val="20"/>
          <w:szCs w:val="20"/>
        </w:rPr>
        <w:t>г.</w:t>
      </w:r>
    </w:p>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8557CF">
      <w:pPr>
        <w:jc w:val="center"/>
        <w:rPr>
          <w:rFonts w:ascii="Times New Roman" w:hAnsi="Times New Roman" w:cs="Times New Roman"/>
          <w:b/>
          <w:bCs/>
        </w:rPr>
      </w:pPr>
      <w:r w:rsidRPr="00BD083A">
        <w:rPr>
          <w:rFonts w:ascii="Times New Roman" w:hAnsi="Times New Roman" w:cs="Times New Roman"/>
          <w:b/>
          <w:bCs/>
        </w:rPr>
        <w:t>Концепция и насоки</w:t>
      </w:r>
      <w:r w:rsidR="008557CF">
        <w:rPr>
          <w:rFonts w:ascii="Times New Roman" w:hAnsi="Times New Roman" w:cs="Times New Roman"/>
          <w:b/>
          <w:bCs/>
        </w:rPr>
        <w:t xml:space="preserve"> </w:t>
      </w:r>
      <w:r w:rsidRPr="00BD083A">
        <w:rPr>
          <w:rFonts w:ascii="Times New Roman" w:hAnsi="Times New Roman" w:cs="Times New Roman"/>
          <w:b/>
          <w:bCs/>
        </w:rPr>
        <w:t>за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w:t>
      </w:r>
      <w:r w:rsidRPr="00624551">
        <w:rPr>
          <w:rFonts w:ascii="Times New Roman" w:hAnsi="Times New Roman" w:cs="Times New Roman"/>
        </w:rPr>
        <w:lastRenderedPageBreak/>
        <w:t>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w:t>
      </w:r>
      <w:r w:rsidRPr="00BD083A">
        <w:rPr>
          <w:rFonts w:ascii="Times New Roman" w:hAnsi="Times New Roman" w:cs="Times New Roman"/>
        </w:rPr>
        <w:lastRenderedPageBreak/>
        <w:t xml:space="preserve">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BD083A" w:rsidRPr="00D47949" w:rsidRDefault="00147E37" w:rsidP="003B0A12">
      <w:pPr>
        <w:pStyle w:val="ListParagraph"/>
        <w:numPr>
          <w:ilvl w:val="0"/>
          <w:numId w:val="4"/>
        </w:numPr>
        <w:jc w:val="both"/>
        <w:rPr>
          <w:rFonts w:ascii="Times New Roman" w:hAnsi="Times New Roman" w:cs="Times New Roman"/>
        </w:rPr>
      </w:pPr>
      <w:r w:rsidRPr="00D47949">
        <w:rPr>
          <w:rFonts w:ascii="Times New Roman" w:hAnsi="Times New Roman" w:cs="Times New Roman"/>
        </w:rPr>
        <w:t>Не се допуска публика</w:t>
      </w:r>
      <w:r w:rsidR="00B32D97" w:rsidRPr="00D47949">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83A"/>
    <w:rsid w:val="00020225"/>
    <w:rsid w:val="00025C10"/>
    <w:rsid w:val="00061F8D"/>
    <w:rsid w:val="00065DAD"/>
    <w:rsid w:val="000E6E71"/>
    <w:rsid w:val="000F0984"/>
    <w:rsid w:val="00147E37"/>
    <w:rsid w:val="00171E8A"/>
    <w:rsid w:val="001C12F8"/>
    <w:rsid w:val="001F2EDE"/>
    <w:rsid w:val="002207DB"/>
    <w:rsid w:val="002509F6"/>
    <w:rsid w:val="0025211C"/>
    <w:rsid w:val="002B728A"/>
    <w:rsid w:val="002C3C49"/>
    <w:rsid w:val="002D331C"/>
    <w:rsid w:val="002F1498"/>
    <w:rsid w:val="00333544"/>
    <w:rsid w:val="00372FAA"/>
    <w:rsid w:val="003733C2"/>
    <w:rsid w:val="00396363"/>
    <w:rsid w:val="003A0BA0"/>
    <w:rsid w:val="003B0A12"/>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C02"/>
    <w:rsid w:val="00910847"/>
    <w:rsid w:val="00942043"/>
    <w:rsid w:val="00947413"/>
    <w:rsid w:val="009C10BB"/>
    <w:rsid w:val="00A36E1F"/>
    <w:rsid w:val="00A60392"/>
    <w:rsid w:val="00AB314F"/>
    <w:rsid w:val="00B05CC5"/>
    <w:rsid w:val="00B32D97"/>
    <w:rsid w:val="00BC0E6D"/>
    <w:rsid w:val="00BC279E"/>
    <w:rsid w:val="00BD083A"/>
    <w:rsid w:val="00BD37EB"/>
    <w:rsid w:val="00BF2BBF"/>
    <w:rsid w:val="00BF60A8"/>
    <w:rsid w:val="00C25179"/>
    <w:rsid w:val="00CD0024"/>
    <w:rsid w:val="00D03BEA"/>
    <w:rsid w:val="00D06364"/>
    <w:rsid w:val="00D47949"/>
    <w:rsid w:val="00D55007"/>
    <w:rsid w:val="00D71031"/>
    <w:rsid w:val="00DA5D81"/>
    <w:rsid w:val="00DD1647"/>
    <w:rsid w:val="00E00A6F"/>
    <w:rsid w:val="00E72692"/>
    <w:rsid w:val="00ED4D46"/>
    <w:rsid w:val="00F16E8D"/>
    <w:rsid w:val="00F36160"/>
    <w:rsid w:val="00F54E4F"/>
    <w:rsid w:val="00FD052D"/>
    <w:rsid w:val="00FF1C3D"/>
    <w:rsid w:val="00FF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5116-F8B5-4D84-8746-6EAA3386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4541</Words>
  <Characters>25885</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2020-10-28T10:31:00Z</cp:lastPrinted>
  <dcterms:created xsi:type="dcterms:W3CDTF">2020-11-27T13:07:00Z</dcterms:created>
  <dcterms:modified xsi:type="dcterms:W3CDTF">2020-11-27T13:07:00Z</dcterms:modified>
</cp:coreProperties>
</file>